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1446" w14:textId="5DD20321" w:rsidR="00CD65BF" w:rsidRDefault="00F12B9B" w:rsidP="00F12B9B">
      <w:pPr>
        <w:rPr>
          <w:b/>
          <w:bCs/>
        </w:rPr>
      </w:pPr>
      <w:r w:rsidRPr="00F12B9B">
        <w:rPr>
          <w:b/>
          <w:bCs/>
        </w:rPr>
        <w:t>Kompetencekort H-</w:t>
      </w:r>
      <w:r w:rsidR="002A2DC1">
        <w:rPr>
          <w:b/>
          <w:bCs/>
        </w:rPr>
        <w:t>16</w:t>
      </w:r>
      <w:bookmarkStart w:id="0" w:name="_GoBack"/>
      <w:bookmarkEnd w:id="0"/>
      <w:r w:rsidRPr="00F12B9B">
        <w:rPr>
          <w:b/>
          <w:bCs/>
        </w:rPr>
        <w:t>:</w:t>
      </w:r>
    </w:p>
    <w:p w14:paraId="31546E08" w14:textId="0522E268" w:rsidR="00CD65BF" w:rsidRPr="00FE50C2" w:rsidRDefault="00F12B9B" w:rsidP="00F12B9B">
      <w:pPr>
        <w:rPr>
          <w:i/>
          <w:iCs/>
        </w:rPr>
      </w:pPr>
      <w:r w:rsidRPr="00F12B9B">
        <w:rPr>
          <w:i/>
          <w:iCs/>
        </w:rPr>
        <w:t>”Selvstændigt kunne rådgive om diagnostik og behandling af akutte og kroniske, lægemiddelrelaterede forgiftninger og andre toksikologiske problemstillinger”</w:t>
      </w:r>
    </w:p>
    <w:p w14:paraId="3AB713AA" w14:textId="77777777" w:rsidR="003D5E10" w:rsidRDefault="00F12B9B" w:rsidP="00F12B9B">
      <w:pPr>
        <w:rPr>
          <w:rFonts w:ascii="Calibri" w:eastAsia="Calibri" w:hAnsi="Calibri" w:cs="Calibri"/>
        </w:rPr>
      </w:pPr>
      <w:r w:rsidRPr="00F12B9B">
        <w:rPr>
          <w:rFonts w:ascii="Calibri" w:eastAsia="Calibri" w:hAnsi="Calibri" w:cs="Calibri"/>
        </w:rPr>
        <w:t xml:space="preserve">Konkretisering fra målbeskrivelsen: Herunder </w:t>
      </w:r>
    </w:p>
    <w:p w14:paraId="7D20668C" w14:textId="5C2C0396" w:rsidR="005F0CC6" w:rsidRDefault="34E3C025" w:rsidP="34E3C025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4E3C025">
        <w:rPr>
          <w:rFonts w:ascii="Calibri" w:eastAsia="Calibri" w:hAnsi="Calibri" w:cs="Calibri"/>
          <w:sz w:val="22"/>
          <w:szCs w:val="22"/>
        </w:rPr>
        <w:t>have kendskab til videnskilder på det toksikologiske område</w:t>
      </w:r>
    </w:p>
    <w:p w14:paraId="563136A5" w14:textId="3F193D6B" w:rsidR="005F0CC6" w:rsidRDefault="34E3C025" w:rsidP="34E3C025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4E3C025">
        <w:rPr>
          <w:rFonts w:ascii="Calibri" w:eastAsia="Calibri" w:hAnsi="Calibri" w:cs="Calibri"/>
          <w:sz w:val="22"/>
          <w:szCs w:val="22"/>
        </w:rPr>
        <w:t>have kendskab til lægemidlers toksiske potentiale</w:t>
      </w:r>
    </w:p>
    <w:p w14:paraId="2E1FC303" w14:textId="71E1366A" w:rsidR="005F0CC6" w:rsidRDefault="34E3C025" w:rsidP="34E3C025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4E3C025">
        <w:rPr>
          <w:rFonts w:ascii="Calibri" w:eastAsia="Calibri" w:hAnsi="Calibri" w:cs="Calibri"/>
          <w:sz w:val="22"/>
          <w:szCs w:val="22"/>
        </w:rPr>
        <w:t>kunne forholde sig til afgrænsningen mellem bivirkninger og forgiftninger</w:t>
      </w:r>
    </w:p>
    <w:p w14:paraId="0A3E61C4" w14:textId="6AAFA46A" w:rsidR="005F0CC6" w:rsidRDefault="34E3C025" w:rsidP="34E3C025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34E3C025">
        <w:rPr>
          <w:rFonts w:ascii="Calibri" w:eastAsia="Calibri" w:hAnsi="Calibri" w:cs="Calibri"/>
          <w:sz w:val="22"/>
          <w:szCs w:val="22"/>
        </w:rPr>
        <w:t>kunne foretage en risikovurdering ved en patientspecifik forgftningssituation</w:t>
      </w:r>
    </w:p>
    <w:p w14:paraId="2797FFF1" w14:textId="77777777" w:rsidR="00032A02" w:rsidRPr="00FE50C2" w:rsidRDefault="00F12B9B" w:rsidP="00F12B9B">
      <w:pPr>
        <w:pStyle w:val="Opstilling-punkttegn"/>
        <w:numPr>
          <w:ilvl w:val="0"/>
          <w:numId w:val="5"/>
        </w:numPr>
        <w:rPr>
          <w:i/>
          <w:iCs/>
          <w:sz w:val="22"/>
          <w:szCs w:val="22"/>
        </w:rPr>
      </w:pPr>
      <w:r w:rsidRPr="00F12B9B">
        <w:rPr>
          <w:rFonts w:ascii="Calibri" w:eastAsia="Calibri" w:hAnsi="Calibri" w:cs="Calibri"/>
          <w:sz w:val="22"/>
          <w:szCs w:val="22"/>
        </w:rPr>
        <w:t xml:space="preserve">på baggrund af ovenstående kunne rådgive om relevante tiltag </w:t>
      </w:r>
    </w:p>
    <w:p w14:paraId="672A6659" w14:textId="77777777" w:rsidR="00E84435" w:rsidRDefault="00E84435" w:rsidP="00F12B9B">
      <w:pPr>
        <w:pStyle w:val="Opstilling-punkttegn"/>
        <w:numPr>
          <w:ilvl w:val="0"/>
          <w:numId w:val="0"/>
        </w:numPr>
        <w:rPr>
          <w:rFonts w:ascii="Calibri" w:eastAsia="Calibri" w:hAnsi="Calibri" w:cs="Calibri"/>
          <w:sz w:val="22"/>
          <w:szCs w:val="22"/>
        </w:rPr>
      </w:pPr>
    </w:p>
    <w:p w14:paraId="3973DD03" w14:textId="77777777" w:rsidR="0061256C" w:rsidRDefault="00F12B9B">
      <w:r w:rsidRPr="00F12B9B">
        <w:rPr>
          <w:rFonts w:ascii="Calibri" w:eastAsia="Calibri" w:hAnsi="Calibri" w:cs="Calibri"/>
        </w:rPr>
        <w:t xml:space="preserve">Kompetencen vurderes efter brug af kompetencekortet </w:t>
      </w:r>
      <w:r>
        <w:t>sammen med vejlederen. Den uddannelsessøgende læge udvælger konkrete arbejdsopgaver til denne vurdering, som kan foretages løbende i hoveduddannelsen.</w:t>
      </w:r>
    </w:p>
    <w:p w14:paraId="5026A2B7" w14:textId="77777777" w:rsidR="00A7201B" w:rsidRPr="00FE50C2" w:rsidRDefault="00F12B9B">
      <w:r>
        <w:t>Forslag til konkrete arbejdsopgaver, som vil kunne bruges til kompetencevurderingen: LI-henvendelser, medicingennemgange etc.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00F12B9B">
        <w:tc>
          <w:tcPr>
            <w:tcW w:w="2878" w:type="dxa"/>
          </w:tcPr>
          <w:p w14:paraId="0A37501D" w14:textId="448BA8BE" w:rsidR="003277B9" w:rsidRDefault="00F12B9B" w:rsidP="006F52D8">
            <w:r w:rsidRPr="00F12B9B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6EC13833" w:rsidP="6EC13833">
            <w:pPr>
              <w:rPr>
                <w:b/>
                <w:bCs/>
              </w:rPr>
            </w:pPr>
            <w:r w:rsidRPr="6EC13833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6EC13833" w:rsidP="6EC13833">
            <w:pPr>
              <w:rPr>
                <w:b/>
                <w:bCs/>
              </w:rPr>
            </w:pPr>
            <w:r w:rsidRPr="6EC13833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6EC13833" w:rsidP="6EC13833">
            <w:pPr>
              <w:rPr>
                <w:b/>
                <w:bCs/>
              </w:rPr>
            </w:pPr>
            <w:r w:rsidRPr="6EC13833">
              <w:rPr>
                <w:b/>
                <w:bCs/>
              </w:rPr>
              <w:t>Godkendt:</w:t>
            </w:r>
          </w:p>
        </w:tc>
      </w:tr>
      <w:tr w:rsidR="003277B9" w14:paraId="75E3B4E5" w14:textId="77777777" w:rsidTr="00F12B9B">
        <w:tc>
          <w:tcPr>
            <w:tcW w:w="2878" w:type="dxa"/>
          </w:tcPr>
          <w:p w14:paraId="0749D6D6" w14:textId="77777777" w:rsidR="003277B9" w:rsidRPr="009D72A7" w:rsidRDefault="6EC13833" w:rsidP="6EC13833">
            <w:pPr>
              <w:rPr>
                <w:b/>
                <w:bCs/>
              </w:rPr>
            </w:pPr>
            <w:r w:rsidRPr="6EC13833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563" w:type="dxa"/>
          </w:tcPr>
          <w:p w14:paraId="5DAB6C7B" w14:textId="77777777" w:rsidR="003277B9" w:rsidRDefault="003277B9" w:rsidP="006F52D8"/>
        </w:tc>
        <w:tc>
          <w:tcPr>
            <w:tcW w:w="1729" w:type="dxa"/>
          </w:tcPr>
          <w:p w14:paraId="02EB378F" w14:textId="77777777" w:rsidR="003277B9" w:rsidRDefault="003277B9" w:rsidP="006F52D8"/>
        </w:tc>
        <w:tc>
          <w:tcPr>
            <w:tcW w:w="1729" w:type="dxa"/>
          </w:tcPr>
          <w:p w14:paraId="6A05A809" w14:textId="77777777" w:rsidR="003277B9" w:rsidRDefault="003277B9" w:rsidP="006F52D8"/>
        </w:tc>
      </w:tr>
      <w:tr w:rsidR="003277B9" w14:paraId="48143A95" w14:textId="77777777" w:rsidTr="00F12B9B">
        <w:tc>
          <w:tcPr>
            <w:tcW w:w="2878" w:type="dxa"/>
          </w:tcPr>
          <w:p w14:paraId="1C5B59F2" w14:textId="77777777" w:rsidR="003277B9" w:rsidRPr="009D72A7" w:rsidRDefault="6EC13833" w:rsidP="6EC13833">
            <w:pPr>
              <w:rPr>
                <w:b/>
                <w:bCs/>
              </w:rPr>
            </w:pPr>
            <w:r w:rsidRPr="6EC13833">
              <w:rPr>
                <w:b/>
                <w:bCs/>
              </w:rPr>
              <w:t xml:space="preserve">Indsamle viden fra relevante kilder, herunder tilgængelige patientoplysninger </w:t>
            </w:r>
          </w:p>
        </w:tc>
        <w:tc>
          <w:tcPr>
            <w:tcW w:w="1563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  <w:tc>
          <w:tcPr>
            <w:tcW w:w="1729" w:type="dxa"/>
          </w:tcPr>
          <w:p w14:paraId="72A3D3EC" w14:textId="77777777" w:rsidR="003277B9" w:rsidRDefault="003277B9" w:rsidP="006F52D8"/>
        </w:tc>
      </w:tr>
      <w:tr w:rsidR="003277B9" w14:paraId="6FDDC446" w14:textId="77777777" w:rsidTr="00F12B9B">
        <w:tc>
          <w:tcPr>
            <w:tcW w:w="2878" w:type="dxa"/>
          </w:tcPr>
          <w:p w14:paraId="4B67E485" w14:textId="53C12E9F" w:rsidR="003277B9" w:rsidRPr="0095528A" w:rsidRDefault="6EC13833" w:rsidP="6EC13833">
            <w:pPr>
              <w:rPr>
                <w:b/>
                <w:bCs/>
                <w:color w:val="FF0000"/>
              </w:rPr>
            </w:pPr>
            <w:r w:rsidRPr="6EC13833">
              <w:rPr>
                <w:b/>
                <w:bCs/>
              </w:rPr>
              <w:t>Vurdere mulig kausalitet</w:t>
            </w:r>
          </w:p>
        </w:tc>
        <w:tc>
          <w:tcPr>
            <w:tcW w:w="1563" w:type="dxa"/>
          </w:tcPr>
          <w:p w14:paraId="0D0B940D" w14:textId="77777777" w:rsidR="003277B9" w:rsidRDefault="003277B9" w:rsidP="006F52D8"/>
        </w:tc>
        <w:tc>
          <w:tcPr>
            <w:tcW w:w="1729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</w:tr>
      <w:tr w:rsidR="6EC13833" w14:paraId="1B4C4325" w14:textId="77777777" w:rsidTr="00F12B9B">
        <w:tc>
          <w:tcPr>
            <w:tcW w:w="2878" w:type="dxa"/>
          </w:tcPr>
          <w:p w14:paraId="4D6A43BD" w14:textId="10687665" w:rsidR="6EC13833" w:rsidRDefault="6A59C734" w:rsidP="6A59C734">
            <w:pPr>
              <w:rPr>
                <w:b/>
                <w:bCs/>
              </w:rPr>
            </w:pPr>
            <w:r w:rsidRPr="6A59C734">
              <w:rPr>
                <w:b/>
                <w:bCs/>
              </w:rPr>
              <w:t>Redegøre for behandlingsmuligheder ved konkrete lægemiddelforgiftninger</w:t>
            </w:r>
          </w:p>
        </w:tc>
        <w:tc>
          <w:tcPr>
            <w:tcW w:w="1563" w:type="dxa"/>
          </w:tcPr>
          <w:p w14:paraId="1114E076" w14:textId="00064896" w:rsidR="6EC13833" w:rsidRDefault="6EC13833" w:rsidP="6EC13833"/>
        </w:tc>
        <w:tc>
          <w:tcPr>
            <w:tcW w:w="1729" w:type="dxa"/>
          </w:tcPr>
          <w:p w14:paraId="0A85E045" w14:textId="0505296E" w:rsidR="6EC13833" w:rsidRDefault="6EC13833" w:rsidP="6EC13833"/>
        </w:tc>
        <w:tc>
          <w:tcPr>
            <w:tcW w:w="1729" w:type="dxa"/>
          </w:tcPr>
          <w:p w14:paraId="0A8DC1D2" w14:textId="5430435F" w:rsidR="6EC13833" w:rsidRDefault="6EC13833" w:rsidP="6EC13833"/>
        </w:tc>
      </w:tr>
      <w:tr w:rsidR="003277B9" w14:paraId="5714341A" w14:textId="77777777" w:rsidTr="00F12B9B">
        <w:tc>
          <w:tcPr>
            <w:tcW w:w="2878" w:type="dxa"/>
          </w:tcPr>
          <w:p w14:paraId="515C4D10" w14:textId="77777777" w:rsidR="003277B9" w:rsidRPr="009D72A7" w:rsidRDefault="6EC13833" w:rsidP="6EC13833">
            <w:pPr>
              <w:rPr>
                <w:b/>
                <w:bCs/>
              </w:rPr>
            </w:pPr>
            <w:r w:rsidRPr="6EC13833">
              <w:rPr>
                <w:b/>
                <w:bCs/>
              </w:rPr>
              <w:t>Angive forslag til fremtidig behandlings- og monitoreringsstrategi</w:t>
            </w:r>
          </w:p>
        </w:tc>
        <w:tc>
          <w:tcPr>
            <w:tcW w:w="1563" w:type="dxa"/>
          </w:tcPr>
          <w:p w14:paraId="44EAFD9C" w14:textId="77777777" w:rsidR="003277B9" w:rsidRDefault="003277B9" w:rsidP="006F52D8"/>
        </w:tc>
        <w:tc>
          <w:tcPr>
            <w:tcW w:w="1729" w:type="dxa"/>
          </w:tcPr>
          <w:p w14:paraId="4B94D5A5" w14:textId="77777777" w:rsidR="003277B9" w:rsidRDefault="003277B9" w:rsidP="006F52D8"/>
        </w:tc>
        <w:tc>
          <w:tcPr>
            <w:tcW w:w="1729" w:type="dxa"/>
          </w:tcPr>
          <w:p w14:paraId="3DEEC669" w14:textId="77777777" w:rsidR="003277B9" w:rsidRDefault="003277B9" w:rsidP="006F52D8"/>
        </w:tc>
      </w:tr>
    </w:tbl>
    <w:p w14:paraId="62749F31" w14:textId="33E8FE3F" w:rsidR="00507589" w:rsidRDefault="00F12B9B">
      <w:r>
        <w:t xml:space="preserve">Endelig godkendelse kræver vurderingen </w:t>
      </w:r>
      <w:r w:rsidRPr="00F12B9B">
        <w:rPr>
          <w:i/>
          <w:iCs/>
        </w:rPr>
        <w:t>godkendt</w:t>
      </w:r>
      <w:r>
        <w:t xml:space="preserve"> for alle del-elementer af kompetencen. </w:t>
      </w:r>
    </w:p>
    <w:p w14:paraId="72C3AA42" w14:textId="4402B503" w:rsidR="00507589" w:rsidRDefault="00F12B9B">
      <w:r>
        <w:t>Dato for vurdering og vejleders underskrift:_________________________</w:t>
      </w:r>
    </w:p>
    <w:p w14:paraId="3DD239AF" w14:textId="50DB661E" w:rsidR="00507589" w:rsidRDefault="00F12B9B">
      <w:r>
        <w:t>Fokusområder til evt. ny vurdering:</w:t>
      </w:r>
    </w:p>
    <w:p w14:paraId="676B9106" w14:textId="6B750779" w:rsidR="00F12B9B" w:rsidRDefault="00F12B9B"/>
    <w:p w14:paraId="1C180D4C" w14:textId="0831AD7D" w:rsidR="00507589" w:rsidRDefault="603AE932">
      <w:r>
        <w:t>Dato for endelig godkendelse og vejleders underskrift:_______________________</w:t>
      </w:r>
    </w:p>
    <w:p w14:paraId="3B1D7FAA" w14:textId="77777777" w:rsidR="00093B1A" w:rsidRPr="00E777C7" w:rsidRDefault="6EC13833" w:rsidP="6EC13833">
      <w:pPr>
        <w:rPr>
          <w:sz w:val="18"/>
          <w:szCs w:val="18"/>
        </w:rPr>
      </w:pPr>
      <w:r w:rsidRPr="6EC13833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C47A1"/>
    <w:rsid w:val="0025427F"/>
    <w:rsid w:val="002A2DC1"/>
    <w:rsid w:val="002C56F8"/>
    <w:rsid w:val="002D299C"/>
    <w:rsid w:val="002E5ABB"/>
    <w:rsid w:val="003277B9"/>
    <w:rsid w:val="00374DD9"/>
    <w:rsid w:val="003D5E10"/>
    <w:rsid w:val="00466E55"/>
    <w:rsid w:val="00507589"/>
    <w:rsid w:val="005778AE"/>
    <w:rsid w:val="005A695D"/>
    <w:rsid w:val="005F0CC6"/>
    <w:rsid w:val="0061256C"/>
    <w:rsid w:val="006766F9"/>
    <w:rsid w:val="006B5C70"/>
    <w:rsid w:val="006F52D8"/>
    <w:rsid w:val="006F76D1"/>
    <w:rsid w:val="00716363"/>
    <w:rsid w:val="00750669"/>
    <w:rsid w:val="00755B2E"/>
    <w:rsid w:val="00794337"/>
    <w:rsid w:val="007E33E6"/>
    <w:rsid w:val="008B6658"/>
    <w:rsid w:val="0095528A"/>
    <w:rsid w:val="0098561D"/>
    <w:rsid w:val="009D72A7"/>
    <w:rsid w:val="00A27A9E"/>
    <w:rsid w:val="00A7201B"/>
    <w:rsid w:val="00AC063D"/>
    <w:rsid w:val="00BE4F7E"/>
    <w:rsid w:val="00CD65BF"/>
    <w:rsid w:val="00DC1DEC"/>
    <w:rsid w:val="00DE7847"/>
    <w:rsid w:val="00E75400"/>
    <w:rsid w:val="00E777C7"/>
    <w:rsid w:val="00E80F6B"/>
    <w:rsid w:val="00E84435"/>
    <w:rsid w:val="00F02B9F"/>
    <w:rsid w:val="00F12B9B"/>
    <w:rsid w:val="00F21B68"/>
    <w:rsid w:val="00F57E18"/>
    <w:rsid w:val="00FE50C2"/>
    <w:rsid w:val="34E3C025"/>
    <w:rsid w:val="603AE932"/>
    <w:rsid w:val="6A59C734"/>
    <w:rsid w:val="6EC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82F2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16</cp:revision>
  <dcterms:created xsi:type="dcterms:W3CDTF">2018-07-18T19:28:00Z</dcterms:created>
  <dcterms:modified xsi:type="dcterms:W3CDTF">2019-06-06T10:16:00Z</dcterms:modified>
</cp:coreProperties>
</file>